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梨树县房屋产权管理中心</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sz w:val="32"/>
          <w:szCs w:val="32"/>
        </w:rPr>
      </w:pPr>
      <w:r>
        <w:rPr>
          <w:sz w:val="32"/>
          <w:szCs w:val="32"/>
        </w:rPr>
        <w:t>（一）房屋权属登记管理</w:t>
      </w:r>
    </w:p>
    <w:p>
      <w:pPr>
        <w:rPr>
          <w:rFonts w:hint="eastAsia"/>
          <w:sz w:val="32"/>
          <w:szCs w:val="32"/>
        </w:rPr>
      </w:pPr>
      <w:r>
        <w:rPr>
          <w:rFonts w:hint="default"/>
          <w:sz w:val="32"/>
          <w:szCs w:val="32"/>
        </w:rPr>
        <w:t>　　（二）商品房预告登记管理</w:t>
      </w:r>
    </w:p>
    <w:p>
      <w:pPr>
        <w:rPr>
          <w:rFonts w:hint="eastAsia"/>
          <w:sz w:val="32"/>
          <w:szCs w:val="32"/>
        </w:rPr>
      </w:pPr>
      <w:r>
        <w:rPr>
          <w:rFonts w:hint="default"/>
          <w:sz w:val="32"/>
          <w:szCs w:val="32"/>
        </w:rPr>
        <w:t>　　（三）房屋档案管理</w:t>
      </w:r>
    </w:p>
    <w:p>
      <w:pPr>
        <w:rPr>
          <w:rFonts w:hint="eastAsia"/>
          <w:sz w:val="32"/>
          <w:szCs w:val="32"/>
        </w:rPr>
      </w:pPr>
      <w:r>
        <w:rPr>
          <w:rFonts w:hint="default"/>
          <w:sz w:val="32"/>
          <w:szCs w:val="32"/>
        </w:rPr>
        <w:t>　　（四）房屋产权、产籍管理</w:t>
      </w:r>
    </w:p>
    <w:p>
      <w:pPr>
        <w:rPr>
          <w:rFonts w:hint="eastAsia"/>
          <w:sz w:val="32"/>
          <w:szCs w:val="32"/>
        </w:rPr>
      </w:pPr>
      <w:r>
        <w:rPr>
          <w:rFonts w:hint="default"/>
          <w:sz w:val="32"/>
          <w:szCs w:val="32"/>
        </w:rPr>
        <w:t>　　（五）抵押登记管理</w:t>
      </w:r>
    </w:p>
    <w:p>
      <w:pPr>
        <w:rPr>
          <w:rFonts w:hint="eastAsia"/>
          <w:sz w:val="32"/>
          <w:szCs w:val="32"/>
        </w:rPr>
      </w:pPr>
      <w:r>
        <w:rPr>
          <w:rFonts w:hint="default"/>
          <w:sz w:val="32"/>
          <w:szCs w:val="32"/>
        </w:rPr>
        <w:t>　　（六）房屋测绘管理</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根据上述职责，梨树县房屋产权管理中心内设</w:t>
      </w:r>
      <w:r>
        <w:rPr>
          <w:rFonts w:hint="eastAsia"/>
          <w:sz w:val="32"/>
          <w:szCs w:val="32"/>
          <w:lang w:val="en-US" w:eastAsia="zh-CN"/>
        </w:rPr>
        <w:t>5</w:t>
      </w:r>
      <w:r>
        <w:rPr>
          <w:rFonts w:hint="eastAsia"/>
          <w:sz w:val="32"/>
          <w:szCs w:val="32"/>
        </w:rPr>
        <w:t>个机构，分别为:</w:t>
      </w:r>
      <w:r>
        <w:rPr>
          <w:rFonts w:hint="eastAsia" w:ascii="宋体" w:hAnsi="宋体" w:eastAsia="宋体" w:cs="宋体"/>
          <w:sz w:val="32"/>
          <w:szCs w:val="32"/>
          <w:lang w:val="en-US" w:eastAsia="zh-CN"/>
        </w:rPr>
        <w:t>办公室、审批科、档案管理科、测绘科、登记科</w:t>
      </w:r>
      <w:r>
        <w:rPr>
          <w:rFonts w:hint="eastAsia" w:ascii="宋体" w:hAnsi="宋体" w:cs="宋体"/>
          <w:sz w:val="32"/>
          <w:szCs w:val="32"/>
          <w:lang w:val="en-US" w:eastAsia="zh-CN"/>
        </w:rPr>
        <w:t>，</w:t>
      </w:r>
      <w:r>
        <w:rPr>
          <w:rFonts w:hint="eastAsia" w:ascii="宋体" w:hAnsi="宋体"/>
          <w:sz w:val="32"/>
          <w:szCs w:val="32"/>
        </w:rPr>
        <w:t>下设</w:t>
      </w:r>
      <w:r>
        <w:rPr>
          <w:rFonts w:hint="eastAsia" w:ascii="宋体" w:hAnsi="宋体"/>
          <w:sz w:val="32"/>
          <w:szCs w:val="32"/>
          <w:lang w:val="en-US" w:eastAsia="zh-CN"/>
        </w:rPr>
        <w:t>1</w:t>
      </w:r>
      <w:r>
        <w:rPr>
          <w:rFonts w:hint="eastAsia" w:ascii="宋体" w:hAnsi="宋体"/>
          <w:sz w:val="32"/>
          <w:szCs w:val="32"/>
        </w:rPr>
        <w:t>家预算单位，分别为:</w:t>
      </w:r>
      <w:r>
        <w:rPr>
          <w:rFonts w:hint="eastAsia"/>
          <w:sz w:val="32"/>
          <w:szCs w:val="32"/>
        </w:rPr>
        <w:t>，梨树县房屋产权管理中心</w:t>
      </w: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年收支总预算255.53万元，比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200.53</w:t>
      </w:r>
      <w:r>
        <w:rPr>
          <w:rFonts w:hint="eastAsia" w:ascii="宋体"/>
          <w:sz w:val="32"/>
          <w:szCs w:val="32"/>
        </w:rPr>
        <w:t>万元，主要原因是</w:t>
      </w:r>
      <w:r>
        <w:rPr>
          <w:rFonts w:hint="eastAsia" w:ascii="宋体"/>
          <w:sz w:val="32"/>
          <w:szCs w:val="32"/>
          <w:lang w:val="en-US" w:eastAsia="zh-CN"/>
        </w:rPr>
        <w:t>新增社保配套等资金</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年收入预算255.53万元，其中：本年收入255.53万元，占</w:t>
      </w:r>
      <w:r>
        <w:rPr>
          <w:rFonts w:hint="eastAsia" w:ascii="宋体"/>
          <w:sz w:val="32"/>
          <w:szCs w:val="32"/>
          <w:lang w:val="en-US" w:eastAsia="zh-CN"/>
        </w:rPr>
        <w:t>100</w:t>
      </w:r>
      <w:r>
        <w:rPr>
          <w:rFonts w:hint="eastAsia" w:ascii="宋体"/>
          <w:sz w:val="32"/>
          <w:szCs w:val="32"/>
        </w:rPr>
        <w:t>%。本年收入中，一般公共预算拨款收入255.53万元，占</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年支出预算255.53 万元，其中：基本支出 255.53万元，占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    %。基本支出中，人员经费 255.53 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年财政拨款收支总预算255.53万元，其中：一般公共预算拨款 255.53 万元。五、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年一般公共预算当年拨255.53万元，其中：基本支出255.53万元，占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 xml:space="preserve">万元，占   %。基本支出中，人员经费255.53万元，占 </w:t>
      </w:r>
      <w:r>
        <w:rPr>
          <w:rFonts w:hint="eastAsia" w:ascii="宋体"/>
          <w:sz w:val="32"/>
          <w:szCs w:val="32"/>
          <w:lang w:val="en-US" w:eastAsia="zh-CN"/>
        </w:rPr>
        <w:t>100</w:t>
      </w:r>
      <w:r>
        <w:rPr>
          <w:rFonts w:hint="eastAsia" w:ascii="宋体"/>
          <w:sz w:val="32"/>
          <w:szCs w:val="32"/>
        </w:rPr>
        <w:t>%</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 255.53万元，其中：人员经费 255.53 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w:t>
      </w:r>
      <w:r>
        <w:rPr>
          <w:rFonts w:hint="eastAsia" w:ascii="宋体"/>
          <w:sz w:val="32"/>
          <w:szCs w:val="32"/>
          <w:lang w:val="en-US" w:eastAsia="zh-CN"/>
        </w:rPr>
        <w:t>单位无三公经费</w:t>
      </w:r>
    </w:p>
    <w:p>
      <w:pPr>
        <w:tabs>
          <w:tab w:val="left" w:pos="1200"/>
          <w:tab w:val="right" w:pos="8306"/>
        </w:tabs>
        <w:ind w:firstLine="630"/>
        <w:jc w:val="left"/>
        <w:rPr>
          <w:rFonts w:ascii="宋体"/>
          <w:sz w:val="32"/>
          <w:szCs w:val="32"/>
        </w:rPr>
      </w:pPr>
      <w:r>
        <w:rPr>
          <w:rFonts w:hint="eastAsia" w:ascii="宋体"/>
          <w:sz w:val="32"/>
          <w:szCs w:val="32"/>
        </w:rPr>
        <w:t>1、因公出国（境）费</w:t>
      </w:r>
      <w:r>
        <w:rPr>
          <w:rFonts w:hint="eastAsia" w:ascii="宋体"/>
          <w:sz w:val="32"/>
          <w:szCs w:val="32"/>
          <w:lang w:val="en-US" w:eastAsia="zh-CN"/>
        </w:rPr>
        <w:t>0</w:t>
      </w:r>
      <w:r>
        <w:rPr>
          <w:rFonts w:hint="eastAsia" w:ascii="宋体"/>
          <w:sz w:val="32"/>
          <w:szCs w:val="32"/>
        </w:rPr>
        <w:t>万元，或与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单位无三公经费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 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 xml:space="preserve">年数持平。其中，公务用车运行维护费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年预算数增加与</w:t>
      </w:r>
      <w:r>
        <w:rPr>
          <w:rFonts w:hint="eastAsia" w:ascii="宋体"/>
          <w:sz w:val="32"/>
          <w:szCs w:val="32"/>
          <w:lang w:eastAsia="zh-CN"/>
        </w:rPr>
        <w:t>2020</w:t>
      </w:r>
      <w:r>
        <w:rPr>
          <w:rFonts w:hint="eastAsia" w:ascii="宋体"/>
          <w:sz w:val="32"/>
          <w:szCs w:val="32"/>
        </w:rPr>
        <w:t>年数持平，主要原因是与</w:t>
      </w:r>
      <w:r>
        <w:rPr>
          <w:rFonts w:hint="eastAsia" w:ascii="宋体"/>
          <w:sz w:val="32"/>
          <w:szCs w:val="32"/>
          <w:lang w:eastAsia="zh-CN"/>
        </w:rPr>
        <w:t>2020</w:t>
      </w:r>
      <w:r>
        <w:rPr>
          <w:rFonts w:hint="eastAsia" w:ascii="宋体"/>
          <w:sz w:val="32"/>
          <w:szCs w:val="32"/>
        </w:rPr>
        <w:t>年数持平 ；公务用车购置</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年预算数</w:t>
      </w:r>
      <w:r>
        <w:rPr>
          <w:rFonts w:hint="eastAsia" w:ascii="宋体"/>
          <w:sz w:val="32"/>
          <w:szCs w:val="32"/>
          <w:lang w:val="en-US" w:eastAsia="zh-CN"/>
        </w:rPr>
        <w:t>0</w:t>
      </w:r>
      <w:r>
        <w:rPr>
          <w:rFonts w:hint="eastAsia" w:ascii="宋体"/>
          <w:sz w:val="32"/>
          <w:szCs w:val="32"/>
        </w:rPr>
        <w:t>减少</w:t>
      </w:r>
      <w:r>
        <w:rPr>
          <w:rFonts w:hint="eastAsia" w:ascii="宋体"/>
          <w:sz w:val="32"/>
          <w:szCs w:val="32"/>
          <w:lang w:val="en-US" w:eastAsia="zh-CN"/>
        </w:rPr>
        <w:t>0</w:t>
      </w:r>
      <w:r>
        <w:rPr>
          <w:rFonts w:hint="eastAsia" w:ascii="宋体"/>
          <w:sz w:val="32"/>
          <w:szCs w:val="32"/>
        </w:rPr>
        <w:t>万元，主要原因是 与</w:t>
      </w:r>
      <w:r>
        <w:rPr>
          <w:rFonts w:hint="eastAsia" w:ascii="宋体"/>
          <w:sz w:val="32"/>
          <w:szCs w:val="32"/>
          <w:lang w:eastAsia="zh-CN"/>
        </w:rPr>
        <w:t>2020</w:t>
      </w:r>
      <w:r>
        <w:rPr>
          <w:rFonts w:hint="eastAsia" w:ascii="宋体"/>
          <w:sz w:val="32"/>
          <w:szCs w:val="32"/>
        </w:rPr>
        <w:t>年数持平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 家行政单位，机关运行经费财政拨款预算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2021</w:t>
      </w:r>
      <w:r>
        <w:rPr>
          <w:rFonts w:hint="eastAsia" w:ascii="宋体"/>
          <w:sz w:val="32"/>
          <w:szCs w:val="32"/>
        </w:rPr>
        <w:t xml:space="preserve">年预算增加 </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w:t>
      </w:r>
      <w:r>
        <w:rPr>
          <w:rFonts w:hint="eastAsia" w:ascii="宋体"/>
          <w:sz w:val="32"/>
          <w:szCs w:val="32"/>
          <w:lang w:eastAsia="zh-CN"/>
        </w:rPr>
        <w:t>主要原因是：</w:t>
      </w:r>
      <w:r>
        <w:rPr>
          <w:rFonts w:hint="eastAsia" w:ascii="宋体"/>
          <w:sz w:val="32"/>
          <w:szCs w:val="32"/>
          <w:lang w:val="en-US" w:eastAsia="zh-CN"/>
        </w:rPr>
        <w:t>单位为事业单位，无机关运行经费。</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0万元，其中：政府采购货物预算0万元，政府采购工作预算0万元，政府采购服务预算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2020年12月31日，部门本级和所属各预算单位共有车辆1辆，其中，领导干部用车0</w:t>
      </w:r>
      <w:bookmarkStart w:id="0" w:name="_GoBack"/>
      <w:bookmarkEnd w:id="0"/>
      <w:r>
        <w:rPr>
          <w:rFonts w:hint="eastAsia" w:ascii="宋体"/>
          <w:sz w:val="32"/>
          <w:szCs w:val="32"/>
          <w:lang w:val="en-US" w:eastAsia="zh-CN"/>
        </w:rPr>
        <w:t>辆、一般公务用车0辆、一般执法执勤用车0辆、特种专业技术用车 0辆、其他用车1辆。单位价值50万元以上通用设备 0台（套），单位价值100万元以上专用设备0台（套）。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hint="default" w:ascii="宋体" w:eastAsia="宋体"/>
          <w:sz w:val="32"/>
          <w:szCs w:val="32"/>
          <w:lang w:val="en-US" w:eastAsia="zh-CN"/>
        </w:rPr>
      </w:pPr>
      <w:r>
        <w:rPr>
          <w:rFonts w:ascii="宋体"/>
          <w:sz w:val="32"/>
          <w:szCs w:val="32"/>
        </w:rPr>
        <w:tab/>
      </w:r>
      <w:r>
        <w:rPr>
          <w:rFonts w:hint="eastAsia" w:ascii="宋体"/>
          <w:sz w:val="32"/>
          <w:szCs w:val="32"/>
        </w:rPr>
        <w:t>本部门无</w:t>
      </w:r>
      <w:r>
        <w:rPr>
          <w:rFonts w:hint="eastAsia" w:ascii="宋体"/>
          <w:sz w:val="32"/>
          <w:szCs w:val="32"/>
          <w:lang w:val="en-US" w:eastAsia="zh-CN"/>
        </w:rPr>
        <w:t>项目支出绩效目标</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I5MzA2ZTk3MTAzOTdjNjgwNWI5NjVlM2UwNzA4OTUifQ=="/>
  </w:docVars>
  <w:rsids>
    <w:rsidRoot w:val="00000000"/>
    <w:rsid w:val="145454E6"/>
    <w:rsid w:val="635A294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11</Pages>
  <Words>2959</Words>
  <Characters>3155</Characters>
  <Lines>25</Lines>
  <Paragraphs>7</Paragraphs>
  <TotalTime>2</TotalTime>
  <ScaleCrop>false</ScaleCrop>
  <LinksUpToDate>false</LinksUpToDate>
  <CharactersWithSpaces>3569</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大熊</cp:lastModifiedBy>
  <cp:lastPrinted>2019-04-13T09:33:00Z</cp:lastPrinted>
  <dcterms:modified xsi:type="dcterms:W3CDTF">2022-09-07T12:34:21Z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E71F85BA4760469198791E4BFE9A8C61</vt:lpwstr>
  </property>
</Properties>
</file>